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BEFRISTETER ARBEITSVERTRAG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HRB [Nummer] beim Amtsgericht [Ort],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„Arbeitgeber"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Arbeitnehmer:in]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 in [Geburtsort], wohnhaft [vollständige Adresse], Sozialversicherungsnummer [Nummer],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„Arbeitnehmer:in"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befristeter Arbeitsvertrag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Tätigkeit und Befristung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wird mit Wirkung vom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 (m/w/d)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eingestellt.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Befristung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(zutreffendes ankreuzen):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Ohne Sachgrund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nach § 14 Abs. 2 TzBfG, befristet bis zum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[Enddatum]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höchstens 2 Jahre ab Eintrittsdatum.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Mit Sachgrund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nach § 14 Abs. 1 TzBfG, befristet bis zum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[Enddatum]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Sachgrund: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[Vertretung / Saisonarbeit / Projektarbeit / Erprobung / anderer zulässiger Grund; präzise beschreiben]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ersten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[bis zu 6]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gelten als Probezeit. Während dieser Zeit kann das Arbeitsverhältnis mit einer Frist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2 Wochen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gekündigt werden (§ 622 Abs. 3 BGB).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Aufgaben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übernimmt die Tätigkeit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Eingruppierung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[Entgeltgruppe]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gemäß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[anwendbarem Tarifvertrag]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Hauptaufgaben: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Arbeitsort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Tätigkeit wird am Sitz des Arbeitgebers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[Arbeitsortadresse]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ausgeübt.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regelmäßige wöchentliche 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verteilt nach betrieblicher Regelung.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Vergütung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erhält ein Bruttomonatsgehalt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zahlbar zum Monatsende. Die Vergütung entspricht mindestens der eines vergleichbaren unbefristet Beschäftigten (§ 4 TzBfG).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Urlaub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Anteiliger Urlaub gemäß § 5 BUrlG, mindestens 20 Arbeitstage pro Kalenderjahr bei einer 5-Tage-Woche, anteilig nach Beschäftigungsdauer.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Ordentliche Kündigung während der Befristung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Eine ordentliche Kündigung während der Befristung ist nur zulässig, wenn: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vertraglich ausdrücklich vereinbart (sie ist hiermit zugelassen / nicht zugelassen),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tarifvertraglich vorgesehen.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Außerordentliche Kündigung aus wichtigem Grund (§ 626 BGB) bleibt unberührt.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Beendigung des befristeten Arbeitsverhältnisses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Das Arbeitsverhältnis endet automatisch mit Ablauf der vereinbarten Befristung, ohne dass es einer Kündigung bedarf (§ 15 Abs. 1 TzBfG). Eine schriftliche Erinnerung an den Endtermin (mindestens 2 Wochen vor dem Endtermin) wird empfohlen.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Sozialversicherung und Schlussbestimmungen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Anmeldung bei den üblichen Sozialversicherungsträgern (Kranken-, Renten-, Arbeitslosen-, Pflegeversicherung) sowie bei der zuständigen Berufsgenossenschaft.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bestätigt den Erhalt eines Exemplars der Betriebsordnung und des anwendbaren Tarifvertrags.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zwei Originalen, je ein Exemplar pro Partei.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Wichtig: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Dieser Vertrag muss vor Arbeitsbeginn schriftlich von beiden Parteien unterzeichnet sein. Mündliche Befristung führt zum unbefristeten Arbeitsverhältnis.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Arbeitgeber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Arbeitnehmer:in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 (befristet)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